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中国太平洋人寿保险股份有限公司</w:t>
      </w:r>
    </w:p>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太保附加长相护长期护理保险</w:t>
      </w:r>
    </w:p>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theme="minorBidi"/>
          <w:b/>
          <w:kern w:val="44"/>
          <w:sz w:val="28"/>
          <w:szCs w:val="24"/>
          <w:lang w:val="en-US" w:eastAsia="zh-CN" w:bidi="ar-SA"/>
        </w:rPr>
      </w:pPr>
      <w:r>
        <w:rPr>
          <w:rFonts w:hint="eastAsia" w:ascii="宋体" w:hAnsi="宋体" w:eastAsia="宋体" w:cs="宋体"/>
          <w:b/>
          <w:bCs/>
          <w:color w:val="auto"/>
          <w:sz w:val="28"/>
          <w:szCs w:val="36"/>
          <w:lang w:val="en-US" w:eastAsia="zh-CN"/>
        </w:rPr>
        <w:t>健康管理服务手册</w:t>
      </w:r>
    </w:p>
    <w:p>
      <w:pPr>
        <w:jc w:val="center"/>
        <w:rPr>
          <w:rFonts w:hint="eastAsia" w:ascii="宋体" w:hAnsi="宋体" w:eastAsia="宋体" w:cstheme="minorBidi"/>
          <w:b/>
          <w:kern w:val="44"/>
          <w:sz w:val="28"/>
          <w:szCs w:val="24"/>
          <w:lang w:val="en-US" w:eastAsia="zh-CN" w:bidi="ar-SA"/>
        </w:rPr>
      </w:pP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感谢您选择中国太平洋人寿保险股份有限公司，很荣幸为您提供服务。</w:t>
      </w: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您的《太保附加长相护长期护理保险》保险合同（以下简称“保险合同”）由中国太平洋人寿保险股份有限公司（以下简称“本公司”）承保，并承担在保险合同中约定的给付保险金的责任。</w:t>
      </w: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由太平洋寿险签约的成都杉泰互联网医院有限公司为您提供在本服务手册中约定的以下健康管理服务：</w:t>
      </w:r>
    </w:p>
    <w:p>
      <w:pPr>
        <w:keepNext w:val="0"/>
        <w:keepLines w:val="0"/>
        <w:pageBreakBefore w:val="0"/>
        <w:numPr>
          <w:ilvl w:val="0"/>
          <w:numId w:val="1"/>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阿尔茨海默症基因检测风险</w:t>
      </w:r>
    </w:p>
    <w:p>
      <w:pPr>
        <w:keepNext w:val="0"/>
        <w:keepLines w:val="0"/>
        <w:pageBreakBefore w:val="0"/>
        <w:numPr>
          <w:ilvl w:val="0"/>
          <w:numId w:val="1"/>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认知障碍风险评估</w:t>
      </w:r>
    </w:p>
    <w:p>
      <w:pPr>
        <w:keepNext w:val="0"/>
        <w:keepLines w:val="0"/>
        <w:pageBreakBefore w:val="0"/>
        <w:numPr>
          <w:ilvl w:val="0"/>
          <w:numId w:val="1"/>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认知管理服务</w:t>
      </w:r>
    </w:p>
    <w:p>
      <w:pPr>
        <w:keepNext w:val="0"/>
        <w:keepLines w:val="0"/>
        <w:pageBreakBefore w:val="0"/>
        <w:numPr>
          <w:ilvl w:val="0"/>
          <w:numId w:val="1"/>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家庭医生服务</w:t>
      </w:r>
    </w:p>
    <w:p>
      <w:pPr>
        <w:keepNext w:val="0"/>
        <w:keepLines w:val="0"/>
        <w:pageBreakBefore w:val="0"/>
        <w:numPr>
          <w:ilvl w:val="0"/>
          <w:numId w:val="1"/>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数字健康档案</w:t>
      </w:r>
    </w:p>
    <w:p>
      <w:pPr>
        <w:keepNext w:val="0"/>
        <w:keepLines w:val="0"/>
        <w:pageBreakBefore w:val="0"/>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服务手册旨在帮助您了解上述服务的具体内容及申请流程，以便更好地维护您的权益。</w:t>
      </w:r>
    </w:p>
    <w:p>
      <w:pPr>
        <w:keepNext w:val="0"/>
        <w:keepLines w:val="0"/>
        <w:pageBreakBefore w:val="0"/>
        <w:numPr>
          <w:ilvl w:val="0"/>
          <w:numId w:val="0"/>
        </w:numPr>
        <w:kinsoku/>
        <w:wordWrap/>
        <w:overflowPunct/>
        <w:topLinePunct w:val="0"/>
        <w:bidi w:val="0"/>
        <w:adjustRightInd/>
        <w:snapToGrid/>
        <w:spacing w:before="156" w:beforeLines="50" w:after="156" w:afterLines="50" w:line="600" w:lineRule="exact"/>
        <w:jc w:val="righ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中国</w:t>
      </w:r>
      <w:r>
        <w:rPr>
          <w:rFonts w:hint="eastAsia" w:ascii="宋体" w:hAnsi="宋体" w:eastAsia="宋体" w:cs="宋体"/>
          <w:color w:val="auto"/>
          <w:szCs w:val="21"/>
        </w:rPr>
        <w:t>太平洋</w:t>
      </w:r>
      <w:r>
        <w:rPr>
          <w:rFonts w:hint="eastAsia" w:ascii="宋体" w:hAnsi="宋体" w:eastAsia="宋体" w:cs="宋体"/>
          <w:color w:val="auto"/>
          <w:szCs w:val="21"/>
          <w:lang w:val="en-US" w:eastAsia="zh-CN"/>
        </w:rPr>
        <w:t>人寿</w:t>
      </w:r>
      <w:r>
        <w:rPr>
          <w:rFonts w:hint="eastAsia" w:ascii="宋体" w:hAnsi="宋体" w:eastAsia="宋体" w:cs="宋体"/>
          <w:color w:val="auto"/>
          <w:szCs w:val="21"/>
        </w:rPr>
        <w:t>保险股份有限公司</w:t>
      </w:r>
    </w:p>
    <w:p>
      <w:pPr>
        <w:keepNext w:val="0"/>
        <w:keepLines w:val="0"/>
        <w:pageBreakBefore w:val="0"/>
        <w:numPr>
          <w:ilvl w:val="0"/>
          <w:numId w:val="0"/>
        </w:numPr>
        <w:kinsoku/>
        <w:wordWrap/>
        <w:overflowPunct/>
        <w:topLinePunct w:val="0"/>
        <w:bidi w:val="0"/>
        <w:adjustRightInd/>
        <w:snapToGrid/>
        <w:spacing w:before="156" w:beforeLines="50" w:after="156" w:afterLines="50" w:line="600" w:lineRule="exact"/>
        <w:jc w:val="righ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2024年1</w:t>
      </w:r>
      <w:bookmarkStart w:id="0" w:name="_GoBack"/>
      <w:bookmarkEnd w:id="0"/>
      <w:r>
        <w:rPr>
          <w:rFonts w:hint="eastAsia" w:ascii="宋体" w:hAnsi="宋体" w:eastAsia="宋体" w:cs="宋体"/>
          <w:color w:val="auto"/>
          <w:szCs w:val="21"/>
          <w:lang w:val="en-US" w:eastAsia="zh-CN"/>
        </w:rPr>
        <w:t>月</w:t>
      </w:r>
    </w:p>
    <w:p>
      <w:pPr>
        <w:keepNext w:val="0"/>
        <w:keepLines w:val="0"/>
        <w:pageBreakBefore w:val="0"/>
        <w:numPr>
          <w:ilvl w:val="0"/>
          <w:numId w:val="0"/>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szCs w:val="21"/>
        </w:rPr>
      </w:pP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szCs w:val="22"/>
          <w:lang w:val="en-US" w:eastAsia="zh-CN"/>
        </w:rPr>
      </w:pP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b/>
          <w:bCs/>
          <w:color w:val="auto"/>
          <w:szCs w:val="21"/>
        </w:rPr>
        <w:t>敬请注意：</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color w:val="auto"/>
          <w:szCs w:val="21"/>
        </w:rPr>
        <w:t>本服务手册旨在帮助您更好地使用健康管理服务，如相关内容与保险合同不一致，请以保险合同为准。</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保险合同的保险</w:t>
      </w:r>
      <w:r>
        <w:rPr>
          <w:rFonts w:hint="eastAsia" w:ascii="宋体" w:hAnsi="宋体" w:eastAsia="宋体" w:cs="宋体"/>
          <w:color w:val="auto"/>
          <w:szCs w:val="21"/>
          <w:highlight w:val="none"/>
        </w:rPr>
        <w:t>期间为被保险人终身。</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b w:val="0"/>
          <w:bCs w:val="0"/>
          <w:color w:val="auto"/>
          <w:szCs w:val="21"/>
        </w:rPr>
        <w:t>服务期限：</w:t>
      </w:r>
      <w:r>
        <w:rPr>
          <w:rFonts w:hint="eastAsia" w:ascii="宋体" w:hAnsi="宋体" w:eastAsia="宋体" w:cs="宋体"/>
          <w:color w:val="auto"/>
          <w:szCs w:val="21"/>
          <w:lang w:val="en-US" w:eastAsia="zh-CN"/>
        </w:rPr>
        <w:t>服务领取后1年内，</w:t>
      </w:r>
      <w:r>
        <w:rPr>
          <w:rFonts w:hint="eastAsia" w:ascii="宋体" w:hAnsi="宋体" w:eastAsia="宋体" w:cs="宋体"/>
          <w:color w:val="auto"/>
          <w:szCs w:val="21"/>
        </w:rPr>
        <w:t>被保险人拥有本</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合同的服务权益，直至服务权益使用完毕，则视为服务终止。</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公司保留对健康管理服务内容变更、停止或增加的权利。</w:t>
      </w:r>
    </w:p>
    <w:p>
      <w:pPr>
        <w:keepNext w:val="0"/>
        <w:keepLines w:val="0"/>
        <w:pageBreakBefore w:val="0"/>
        <w:kinsoku/>
        <w:wordWrap/>
        <w:overflowPunct/>
        <w:topLinePunct w:val="0"/>
        <w:bidi w:val="0"/>
        <w:adjustRightInd/>
        <w:snapToGrid/>
        <w:spacing w:line="600" w:lineRule="exact"/>
        <w:ind w:firstLine="420"/>
        <w:jc w:val="both"/>
        <w:textAlignment w:val="auto"/>
        <w:rPr>
          <w:rFonts w:hint="eastAsia" w:ascii="宋体" w:hAnsi="宋体" w:eastAsia="宋体" w:cs="宋体"/>
          <w:color w:val="auto"/>
          <w:szCs w:val="21"/>
        </w:rPr>
      </w:pPr>
      <w:r>
        <w:rPr>
          <w:rFonts w:hint="eastAsia" w:ascii="宋体" w:hAnsi="宋体" w:eastAsia="宋体" w:cs="宋体"/>
          <w:color w:val="auto"/>
          <w:szCs w:val="21"/>
        </w:rPr>
        <w:t>请您完整阅读本服务手册，尤其是其中加粗体字的部分。</w:t>
      </w:r>
    </w:p>
    <w:p>
      <w:pPr>
        <w:keepNext w:val="0"/>
        <w:keepLines w:val="0"/>
        <w:pageBreakBefore w:val="0"/>
        <w:kinsoku/>
        <w:wordWrap/>
        <w:overflowPunct/>
        <w:topLinePunct w:val="0"/>
        <w:bidi w:val="0"/>
        <w:adjustRightInd/>
        <w:snapToGrid/>
        <w:spacing w:line="600" w:lineRule="exact"/>
        <w:ind w:firstLine="420"/>
        <w:jc w:val="both"/>
        <w:textAlignment w:val="auto"/>
        <w:rPr>
          <w:rFonts w:hint="default" w:ascii="宋体" w:hAnsi="宋体" w:eastAsia="宋体" w:cs="宋体"/>
          <w:color w:val="auto"/>
          <w:szCs w:val="21"/>
          <w:lang w:val="en-US"/>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2"/>
          <w:lang w:val="en-US" w:eastAsia="zh-CN"/>
        </w:rPr>
        <w:t>太保附加长相护长期护理保险的被保险人成功承保后且保单生效日后第15日，可前往“太平洋寿险”微信公众号→点击菜单“会员福利”→“权益中心”→“长相护”，领取服务权益（需在保单生效后3年内领取），服务权益领取后根据页面提示可申请使用服务。</w:t>
      </w:r>
    </w:p>
    <w:p>
      <w:pPr>
        <w:keepNext w:val="0"/>
        <w:keepLines w:val="0"/>
        <w:pageBreakBefore w:val="0"/>
        <w:kinsoku/>
        <w:wordWrap/>
        <w:overflowPunct/>
        <w:topLinePunct w:val="0"/>
        <w:bidi w:val="0"/>
        <w:adjustRightInd/>
        <w:snapToGrid/>
        <w:spacing w:before="157" w:beforeLines="50" w:line="240" w:lineRule="auto"/>
        <w:jc w:val="center"/>
        <w:textAlignment w:val="auto"/>
        <w:rPr>
          <w:rFonts w:hint="eastAsia" w:asciiTheme="minorEastAsia" w:hAnsiTheme="minorEastAsia" w:eastAsiaTheme="minorEastAsia" w:cstheme="minorEastAsia"/>
          <w:b/>
          <w:bCs/>
          <w:sz w:val="21"/>
          <w:szCs w:val="21"/>
        </w:rPr>
      </w:pPr>
      <w:r>
        <w:rPr>
          <w:rFonts w:hint="eastAsia" w:ascii="宋体" w:hAnsi="宋体" w:eastAsia="宋体" w:cs="宋体"/>
          <w:b/>
          <w:bCs/>
          <w:sz w:val="21"/>
          <w:szCs w:val="21"/>
        </w:rPr>
        <w:t>第一章  服务概要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0070C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0070C0"/>
          <w:sz w:val="18"/>
          <w:szCs w:val="18"/>
        </w:rPr>
      </w:pPr>
    </w:p>
    <w:p>
      <w:pPr>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一、阿尔茨</w:t>
      </w:r>
      <w:r>
        <w:rPr>
          <w:rFonts w:hint="eastAsia" w:ascii="宋体" w:hAnsi="宋体" w:eastAsia="宋体" w:cs="宋体"/>
          <w:b/>
          <w:bCs/>
          <w:color w:val="000000" w:themeColor="text1"/>
          <w:spacing w:val="1"/>
          <w:szCs w:val="21"/>
          <w14:textFill>
            <w14:solidFill>
              <w14:schemeClr w14:val="tx1"/>
            </w14:solidFill>
          </w14:textFill>
        </w:rPr>
        <w:t>海默症基因检测服务</w:t>
      </w:r>
    </w:p>
    <w:p>
      <w:pPr>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default" w:ascii="宋体" w:hAnsi="宋体" w:eastAsia="宋体" w:cs="宋体"/>
          <w:b/>
          <w:bCs/>
          <w:color w:val="000000" w:themeColor="text1"/>
          <w:spacing w:val="1"/>
          <w:szCs w:val="21"/>
          <w:lang w:val="en-US" w:eastAsia="zh-CN"/>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1、服务内容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lang w:eastAsia="zh-CN"/>
          <w14:textFill>
            <w14:solidFill>
              <w14:schemeClr w14:val="tx1"/>
            </w14:solidFill>
          </w14:textFill>
        </w:rPr>
        <w:t>根据《中国阿尔茨海默病痴呆诊疗指南》，明确推荐APOE基因分型检测用于阿尔茨海默发生与转化风险的预测性检测。本服务通过APOE基因分型检测，帮助提示个体的发病风险，高风险人群可以通过综合预防、生活方式调整、认知训练和有氧运动等，延缓或降低发病率。</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2、服务流程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1）采样盒领取流程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（1）登陆太平洋寿险公众号，点击权益中心</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（2）在产品专属区，点击“长相护”板块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（3）进入权益</w:t>
      </w:r>
      <w:r>
        <w:rPr>
          <w:rFonts w:hint="eastAsia" w:ascii="宋体" w:hAnsi="宋体" w:eastAsia="宋体" w:cs="宋体"/>
          <w:color w:val="000000" w:themeColor="text1"/>
          <w:spacing w:val="1"/>
          <w:szCs w:val="21"/>
          <w:lang w:val="en-US" w:eastAsia="zh-CN"/>
          <w14:textFill>
            <w14:solidFill>
              <w14:schemeClr w14:val="tx1"/>
            </w14:solidFill>
          </w14:textFill>
        </w:rPr>
        <w:t>列表</w:t>
      </w:r>
      <w:r>
        <w:rPr>
          <w:rFonts w:hint="eastAsia" w:ascii="宋体" w:hAnsi="宋体" w:eastAsia="宋体" w:cs="宋体"/>
          <w:color w:val="000000" w:themeColor="text1"/>
          <w:spacing w:val="1"/>
          <w:szCs w:val="21"/>
          <w14:textFill>
            <w14:solidFill>
              <w14:schemeClr w14:val="tx1"/>
            </w14:solidFill>
          </w14:textFill>
        </w:rPr>
        <w:t>页面，点击“立即使用”，</w:t>
      </w:r>
      <w:r>
        <w:rPr>
          <w:rFonts w:hint="eastAsia" w:ascii="宋体" w:hAnsi="宋体" w:eastAsia="宋体" w:cs="宋体"/>
          <w:color w:val="000000" w:themeColor="text1"/>
          <w:spacing w:val="1"/>
          <w:szCs w:val="21"/>
          <w:lang w:val="en-US" w:eastAsia="zh-CN"/>
          <w14:textFill>
            <w14:solidFill>
              <w14:schemeClr w14:val="tx1"/>
            </w14:solidFill>
          </w14:textFill>
        </w:rPr>
        <w:t>填写收货人地址并提交</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（4）</w:t>
      </w:r>
      <w:r>
        <w:rPr>
          <w:rFonts w:hint="eastAsia" w:ascii="宋体" w:hAnsi="宋体" w:eastAsia="宋体" w:cs="宋体"/>
          <w:color w:val="000000" w:themeColor="text1"/>
          <w:spacing w:val="1"/>
          <w:szCs w:val="21"/>
          <w:lang w:val="en-US" w:eastAsia="zh-CN"/>
          <w14:textFill>
            <w14:solidFill>
              <w14:schemeClr w14:val="tx1"/>
            </w14:solidFill>
          </w14:textFill>
        </w:rPr>
        <w:t>成功提交后，</w:t>
      </w:r>
      <w:r>
        <w:rPr>
          <w:rFonts w:hint="eastAsia" w:ascii="宋体" w:hAnsi="宋体" w:eastAsia="宋体" w:cs="宋体"/>
          <w:color w:val="000000" w:themeColor="text1"/>
          <w:spacing w:val="1"/>
          <w:szCs w:val="21"/>
          <w14:textFill>
            <w14:solidFill>
              <w14:schemeClr w14:val="tx1"/>
            </w14:solidFill>
          </w14:textFill>
        </w:rPr>
        <w:t>在权益列表页，点击“</w:t>
      </w:r>
      <w:r>
        <w:rPr>
          <w:rFonts w:hint="eastAsia" w:ascii="宋体" w:hAnsi="宋体" w:eastAsia="宋体" w:cs="宋体"/>
          <w:color w:val="000000" w:themeColor="text1"/>
          <w:spacing w:val="1"/>
          <w:szCs w:val="21"/>
          <w:lang w:val="en-US" w:eastAsia="zh-CN"/>
          <w14:textFill>
            <w14:solidFill>
              <w14:schemeClr w14:val="tx1"/>
            </w14:solidFill>
          </w14:textFill>
        </w:rPr>
        <w:t>阿尔茨</w:t>
      </w:r>
      <w:r>
        <w:rPr>
          <w:rFonts w:hint="eastAsia" w:ascii="宋体" w:hAnsi="宋体" w:eastAsia="宋体" w:cs="宋体"/>
          <w:color w:val="000000" w:themeColor="text1"/>
          <w:spacing w:val="1"/>
          <w:szCs w:val="21"/>
          <w14:textFill>
            <w14:solidFill>
              <w14:schemeClr w14:val="tx1"/>
            </w14:solidFill>
          </w14:textFill>
        </w:rPr>
        <w:t>海默症基因检测服务-</w:t>
      </w:r>
      <w:r>
        <w:rPr>
          <w:rFonts w:hint="eastAsia" w:ascii="宋体" w:hAnsi="宋体" w:eastAsia="宋体" w:cs="宋体"/>
          <w:color w:val="000000" w:themeColor="text1"/>
          <w:spacing w:val="1"/>
          <w:szCs w:val="21"/>
          <w:lang w:val="en-US" w:eastAsia="zh-CN"/>
          <w14:textFill>
            <w14:solidFill>
              <w14:schemeClr w14:val="tx1"/>
            </w14:solidFill>
          </w14:textFill>
        </w:rPr>
        <w:t>去使用</w:t>
      </w:r>
      <w:r>
        <w:rPr>
          <w:rFonts w:hint="eastAsia" w:ascii="宋体" w:hAnsi="宋体" w:eastAsia="宋体" w:cs="宋体"/>
          <w:color w:val="000000" w:themeColor="text1"/>
          <w:spacing w:val="1"/>
          <w:szCs w:val="21"/>
          <w14:textFill>
            <w14:solidFill>
              <w14:schemeClr w14:val="tx1"/>
            </w14:solidFill>
          </w14:textFill>
        </w:rPr>
        <w:t>”，</w:t>
      </w:r>
      <w:r>
        <w:rPr>
          <w:rFonts w:hint="eastAsia" w:ascii="宋体" w:hAnsi="宋体" w:eastAsia="宋体" w:cs="宋体"/>
          <w:color w:val="000000" w:themeColor="text1"/>
          <w:spacing w:val="1"/>
          <w:szCs w:val="21"/>
          <w:lang w:val="en-US" w:eastAsia="zh-CN"/>
          <w14:textFill>
            <w14:solidFill>
              <w14:schemeClr w14:val="tx1"/>
            </w14:solidFill>
          </w14:textFill>
        </w:rPr>
        <w:t>查看物流信息</w:t>
      </w:r>
      <w:r>
        <w:rPr>
          <w:rFonts w:hint="eastAsia" w:ascii="宋体" w:hAnsi="宋体" w:eastAsia="宋体" w:cs="宋体"/>
          <w:color w:val="000000" w:themeColor="text1"/>
          <w:spacing w:val="1"/>
          <w:szCs w:val="21"/>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2）自行采样</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客户按照采样盒上的流程指引自行完成采样</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3）回寄采样盒</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采样完成后，客户自行将样本寄回到实验室</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建议将样本采集管放入原包装盒内寄回</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建议</w:t>
      </w:r>
      <w:r>
        <w:rPr>
          <w:rFonts w:hint="eastAsia" w:ascii="宋体" w:hAnsi="宋体" w:eastAsia="宋体" w:cs="宋体"/>
          <w:b/>
          <w:bCs/>
          <w:color w:val="auto"/>
          <w:spacing w:val="1"/>
          <w:szCs w:val="21"/>
          <w:lang w:val="en-US" w:eastAsia="zh-CN"/>
        </w:rPr>
        <w:t>一周内</w:t>
      </w:r>
      <w:r>
        <w:rPr>
          <w:rFonts w:hint="eastAsia" w:ascii="宋体" w:hAnsi="宋体" w:eastAsia="宋体" w:cs="宋体"/>
          <w:color w:val="000000" w:themeColor="text1"/>
          <w:spacing w:val="1"/>
          <w:szCs w:val="21"/>
          <w:lang w:val="en-US" w:eastAsia="zh-CN"/>
          <w14:textFill>
            <w14:solidFill>
              <w14:schemeClr w14:val="tx1"/>
            </w14:solidFill>
          </w14:textFill>
        </w:rPr>
        <w:t>寄回为佳，如不能按时寄回，请</w:t>
      </w:r>
      <w:r>
        <w:rPr>
          <w:rFonts w:hint="eastAsia" w:ascii="宋体" w:hAnsi="宋体" w:eastAsia="宋体" w:cs="宋体"/>
          <w:b/>
          <w:bCs/>
          <w:color w:val="auto"/>
          <w:spacing w:val="1"/>
          <w:szCs w:val="21"/>
          <w:lang w:val="en-US" w:eastAsia="zh-CN"/>
        </w:rPr>
        <w:t>低温保存（可冰箱冷藏保存一个月）</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4）查看报告</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实验室收到样本后，实验室15个工作日内出具电子报告，客户可通过“权益介绍列表-阿尔兹海默基因检测服务”查看报告</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3、服务说明</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1）客户请务必根据采样盒上说明内容，确保样本编码绑定成功；</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2</w:t>
      </w:r>
      <w:r>
        <w:rPr>
          <w:rFonts w:hint="eastAsia" w:ascii="宋体" w:hAnsi="宋体" w:eastAsia="宋体" w:cs="宋体"/>
          <w:color w:val="000000" w:themeColor="text1"/>
          <w:spacing w:val="1"/>
          <w:szCs w:val="21"/>
          <w14:textFill>
            <w14:solidFill>
              <w14:schemeClr w14:val="tx1"/>
            </w14:solidFill>
          </w14:textFill>
        </w:rPr>
        <w:t>）回寄样本前请务必确认保存管管盖已拧紧；</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3</w:t>
      </w:r>
      <w:r>
        <w:rPr>
          <w:rFonts w:hint="eastAsia" w:ascii="宋体" w:hAnsi="宋体" w:eastAsia="宋体" w:cs="宋体"/>
          <w:color w:val="000000" w:themeColor="text1"/>
          <w:spacing w:val="1"/>
          <w:szCs w:val="21"/>
          <w14:textFill>
            <w14:solidFill>
              <w14:schemeClr w14:val="tx1"/>
            </w14:solidFill>
          </w14:textFill>
        </w:rPr>
        <w:t>）为防止暴力快递，回寄时建议将完成采集的样本保存管放入原包装一起寄回；</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4</w:t>
      </w:r>
      <w:r>
        <w:rPr>
          <w:rFonts w:hint="eastAsia" w:ascii="宋体" w:hAnsi="宋体" w:eastAsia="宋体" w:cs="宋体"/>
          <w:color w:val="000000" w:themeColor="text1"/>
          <w:spacing w:val="1"/>
          <w:szCs w:val="21"/>
          <w14:textFill>
            <w14:solidFill>
              <w14:schemeClr w14:val="tx1"/>
            </w14:solidFill>
          </w14:textFill>
        </w:rPr>
        <w:t>）采样后如不能及时快递请放置冰箱冷藏保存（冷藏可保存1个月）；</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lang w:val="en-US" w:eastAsia="zh-CN"/>
          <w14:textFill>
            <w14:solidFill>
              <w14:schemeClr w14:val="tx1"/>
            </w14:solidFill>
          </w14:textFill>
        </w:rPr>
        <w:t>5</w:t>
      </w:r>
      <w:r>
        <w:rPr>
          <w:rFonts w:hint="eastAsia" w:ascii="宋体" w:hAnsi="宋体" w:eastAsia="宋体" w:cs="宋体"/>
          <w:color w:val="000000" w:themeColor="text1"/>
          <w:spacing w:val="1"/>
          <w:szCs w:val="21"/>
          <w14:textFill>
            <w14:solidFill>
              <w14:schemeClr w14:val="tx1"/>
            </w14:solidFill>
          </w14:textFill>
        </w:rPr>
        <w:t>）请确保填写的信息、地址、检测项目等内容正确，信息一旦录入成功</w:t>
      </w:r>
      <w:r>
        <w:rPr>
          <w:rFonts w:hint="eastAsia" w:ascii="宋体" w:hAnsi="宋体" w:eastAsia="宋体" w:cs="宋体"/>
          <w:b/>
          <w:bCs/>
          <w:color w:val="000000" w:themeColor="text1"/>
          <w:spacing w:val="1"/>
          <w:szCs w:val="21"/>
          <w14:textFill>
            <w14:solidFill>
              <w14:schemeClr w14:val="tx1"/>
            </w14:solidFill>
          </w14:textFill>
        </w:rPr>
        <w:t>不可修改</w:t>
      </w:r>
      <w:r>
        <w:rPr>
          <w:rFonts w:hint="eastAsia" w:ascii="宋体" w:hAnsi="宋体" w:eastAsia="宋体" w:cs="宋体"/>
          <w:color w:val="000000" w:themeColor="text1"/>
          <w:spacing w:val="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二、</w:t>
      </w:r>
      <w:r>
        <w:rPr>
          <w:rFonts w:hint="eastAsia" w:ascii="宋体" w:hAnsi="宋体" w:eastAsia="宋体" w:cs="宋体"/>
          <w:b/>
          <w:bCs/>
          <w:color w:val="000000" w:themeColor="text1"/>
          <w:spacing w:val="1"/>
          <w:szCs w:val="21"/>
          <w14:textFill>
            <w14:solidFill>
              <w14:schemeClr w14:val="tx1"/>
            </w14:solidFill>
          </w14:textFill>
        </w:rPr>
        <w:t>认知障碍风险评估</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1、服务内容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AI智能量表多维度评估，简单、快速、准确的评估认知状态。帮助尽早发现因衰老、疾病等原因引起的认知障碍风险，从而采取针对性预防和治疗策略。</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2、服务流程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（1）登陆太平洋寿险公众号，点击权益中心</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（2）在产品专属区，点击“长相护”板块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（3）进入权益</w:t>
      </w:r>
      <w:r>
        <w:rPr>
          <w:rFonts w:hint="eastAsia" w:ascii="宋体" w:hAnsi="宋体" w:eastAsia="宋体" w:cs="宋体"/>
          <w:color w:val="000000" w:themeColor="text1"/>
          <w:spacing w:val="1"/>
          <w:szCs w:val="21"/>
          <w:lang w:val="en-US" w:eastAsia="zh-CN"/>
          <w14:textFill>
            <w14:solidFill>
              <w14:schemeClr w14:val="tx1"/>
            </w14:solidFill>
          </w14:textFill>
        </w:rPr>
        <w:t>列表</w:t>
      </w:r>
      <w:r>
        <w:rPr>
          <w:rFonts w:hint="eastAsia" w:ascii="宋体" w:hAnsi="宋体" w:eastAsia="宋体" w:cs="宋体"/>
          <w:color w:val="000000" w:themeColor="text1"/>
          <w:spacing w:val="1"/>
          <w:szCs w:val="21"/>
          <w14:textFill>
            <w14:solidFill>
              <w14:schemeClr w14:val="tx1"/>
            </w14:solidFill>
          </w14:textFill>
        </w:rPr>
        <w:t>页面，点击“认知功能风险评估-去使用”，</w:t>
      </w:r>
      <w:r>
        <w:rPr>
          <w:rFonts w:hint="eastAsia" w:ascii="宋体" w:hAnsi="宋体" w:eastAsia="宋体" w:cs="宋体"/>
          <w:color w:val="000000" w:themeColor="text1"/>
          <w:spacing w:val="1"/>
          <w:szCs w:val="21"/>
          <w:lang w:val="en-US" w:eastAsia="zh-CN"/>
          <w14:textFill>
            <w14:solidFill>
              <w14:schemeClr w14:val="tx1"/>
            </w14:solidFill>
          </w14:textFill>
        </w:rPr>
        <w:t>进入评估页面</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w:t>
      </w:r>
      <w:r>
        <w:rPr>
          <w:rFonts w:hint="eastAsia" w:ascii="宋体" w:hAnsi="宋体" w:eastAsia="宋体" w:cs="宋体"/>
          <w:color w:val="000000" w:themeColor="text1"/>
          <w:spacing w:val="1"/>
          <w:szCs w:val="21"/>
          <w:lang w:val="en-US" w:eastAsia="zh-CN"/>
          <w14:textFill>
            <w14:solidFill>
              <w14:schemeClr w14:val="tx1"/>
            </w14:solidFill>
          </w14:textFill>
        </w:rPr>
        <w:t>4</w:t>
      </w:r>
      <w:r>
        <w:rPr>
          <w:rFonts w:hint="eastAsia" w:ascii="宋体" w:hAnsi="宋体" w:eastAsia="宋体" w:cs="宋体"/>
          <w:color w:val="000000" w:themeColor="text1"/>
          <w:spacing w:val="1"/>
          <w:szCs w:val="21"/>
          <w14:textFill>
            <w14:solidFill>
              <w14:schemeClr w14:val="tx1"/>
            </w14:solidFill>
          </w14:textFill>
        </w:rPr>
        <w:t>）</w:t>
      </w:r>
      <w:r>
        <w:rPr>
          <w:rFonts w:hint="eastAsia" w:ascii="宋体" w:hAnsi="宋体" w:eastAsia="宋体" w:cs="宋体"/>
          <w:color w:val="000000" w:themeColor="text1"/>
          <w:spacing w:val="1"/>
          <w:szCs w:val="21"/>
          <w:lang w:val="en-US" w:eastAsia="zh-CN"/>
          <w14:textFill>
            <w14:solidFill>
              <w14:schemeClr w14:val="tx1"/>
            </w14:solidFill>
          </w14:textFill>
        </w:rPr>
        <w:t>点击“开始评估”，根据提示操作，进入认知症状评估流程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三、</w:t>
      </w:r>
      <w:r>
        <w:rPr>
          <w:rFonts w:hint="eastAsia" w:ascii="宋体" w:hAnsi="宋体" w:eastAsia="宋体" w:cs="宋体"/>
          <w:b/>
          <w:bCs/>
          <w:color w:val="000000" w:themeColor="text1"/>
          <w:spacing w:val="1"/>
          <w:szCs w:val="21"/>
          <w:lang w:eastAsia="zh-CN"/>
          <w14:textFill>
            <w14:solidFill>
              <w14:schemeClr w14:val="tx1"/>
            </w14:solidFill>
          </w14:textFill>
        </w:rPr>
        <w:t>认知管理服务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1、服务内容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专为</w:t>
      </w:r>
      <w:r>
        <w:rPr>
          <w:rFonts w:hint="eastAsia" w:ascii="宋体" w:hAnsi="宋体" w:eastAsia="宋体" w:cs="宋体"/>
          <w:color w:val="000000" w:themeColor="text1"/>
          <w:spacing w:val="1"/>
          <w:szCs w:val="21"/>
          <w:lang w:val="en-US" w:eastAsia="zh-CN"/>
          <w14:textFill>
            <w14:solidFill>
              <w14:schemeClr w14:val="tx1"/>
            </w14:solidFill>
          </w14:textFill>
        </w:rPr>
        <w:t>阿尔茨</w:t>
      </w:r>
      <w:r>
        <w:rPr>
          <w:rFonts w:hint="eastAsia" w:ascii="宋体" w:hAnsi="宋体" w:eastAsia="宋体" w:cs="宋体"/>
          <w:color w:val="000000" w:themeColor="text1"/>
          <w:spacing w:val="1"/>
          <w:szCs w:val="21"/>
          <w14:textFill>
            <w14:solidFill>
              <w14:schemeClr w14:val="tx1"/>
            </w14:solidFill>
          </w14:textFill>
        </w:rPr>
        <w:t>海默症基因检测结果为E4/E4或E3/E4高风险人群提供的认知管理服务，提供复旦大学附属华山医院的专家门诊预约协助服务和专项体检预约服务，为检测后的客户提供针对性的诊疗和深度筛查，本服务需自费购买，太保保险客户享专属折扣价。</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2、服务流程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（1）登陆太平洋寿险公众号，点击权益中心</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（2）在产品专属区，点击“长相护”板块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（3）进入权益</w:t>
      </w:r>
      <w:r>
        <w:rPr>
          <w:rFonts w:hint="eastAsia" w:ascii="宋体" w:hAnsi="宋体" w:eastAsia="宋体" w:cs="宋体"/>
          <w:color w:val="000000" w:themeColor="text1"/>
          <w:spacing w:val="1"/>
          <w:szCs w:val="21"/>
          <w:lang w:val="en-US" w:eastAsia="zh-CN"/>
          <w14:textFill>
            <w14:solidFill>
              <w14:schemeClr w14:val="tx1"/>
            </w14:solidFill>
          </w14:textFill>
        </w:rPr>
        <w:t>列表</w:t>
      </w:r>
      <w:r>
        <w:rPr>
          <w:rFonts w:hint="eastAsia" w:ascii="宋体" w:hAnsi="宋体" w:eastAsia="宋体" w:cs="宋体"/>
          <w:color w:val="000000" w:themeColor="text1"/>
          <w:spacing w:val="1"/>
          <w:szCs w:val="21"/>
          <w14:textFill>
            <w14:solidFill>
              <w14:schemeClr w14:val="tx1"/>
            </w14:solidFill>
          </w14:textFill>
        </w:rPr>
        <w:t>页面，点击“认知管理服务-去使用”</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（4）</w:t>
      </w:r>
      <w:r>
        <w:rPr>
          <w:rFonts w:hint="eastAsia" w:ascii="宋体" w:hAnsi="宋体" w:eastAsia="宋体" w:cs="宋体"/>
          <w:color w:val="000000" w:themeColor="text1"/>
          <w:spacing w:val="1"/>
          <w:szCs w:val="21"/>
          <w:lang w:val="en-US" w:eastAsia="zh-CN"/>
          <w14:textFill>
            <w14:solidFill>
              <w14:schemeClr w14:val="tx1"/>
            </w14:solidFill>
          </w14:textFill>
        </w:rPr>
        <w:t>基因</w:t>
      </w:r>
      <w:r>
        <w:rPr>
          <w:rFonts w:hint="eastAsia" w:ascii="宋体" w:hAnsi="宋体" w:eastAsia="宋体" w:cs="宋体"/>
          <w:color w:val="000000" w:themeColor="text1"/>
          <w:spacing w:val="1"/>
          <w:szCs w:val="21"/>
          <w14:textFill>
            <w14:solidFill>
              <w14:schemeClr w14:val="tx1"/>
            </w14:solidFill>
          </w14:textFill>
        </w:rPr>
        <w:t>检测结果为高风险人</w:t>
      </w:r>
      <w:r>
        <w:rPr>
          <w:rFonts w:hint="eastAsia" w:ascii="宋体" w:hAnsi="宋体" w:eastAsia="宋体" w:cs="宋体"/>
          <w:color w:val="000000" w:themeColor="text1"/>
          <w:spacing w:val="1"/>
          <w:szCs w:val="21"/>
          <w:lang w:val="en-US" w:eastAsia="zh-CN"/>
          <w14:textFill>
            <w14:solidFill>
              <w14:schemeClr w14:val="tx1"/>
            </w14:solidFill>
          </w14:textFill>
        </w:rPr>
        <w:t>群，可点击购买</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（5）专属管理人员将在24小时内致电联系，与您确认就诊信息及需求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lang w:eastAsia="zh-CN"/>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3、服务</w:t>
      </w:r>
      <w:r>
        <w:rPr>
          <w:rFonts w:hint="eastAsia" w:ascii="宋体" w:hAnsi="宋体" w:eastAsia="宋体" w:cs="宋体"/>
          <w:b/>
          <w:bCs/>
          <w:color w:val="000000" w:themeColor="text1"/>
          <w:spacing w:val="1"/>
          <w:szCs w:val="21"/>
          <w:lang w:val="en-US" w:eastAsia="zh-CN"/>
          <w14:textFill>
            <w14:solidFill>
              <w14:schemeClr w14:val="tx1"/>
            </w14:solidFill>
          </w14:textFill>
        </w:rPr>
        <w:t>须知</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本服务</w:t>
      </w:r>
      <w:r>
        <w:rPr>
          <w:rFonts w:hint="eastAsia" w:ascii="宋体" w:hAnsi="宋体" w:eastAsia="宋体" w:cs="宋体"/>
          <w:b/>
          <w:bCs/>
          <w:color w:val="000000" w:themeColor="text1"/>
          <w:spacing w:val="1"/>
          <w:szCs w:val="21"/>
          <w14:textFill>
            <w14:solidFill>
              <w14:schemeClr w14:val="tx1"/>
            </w14:solidFill>
          </w14:textFill>
        </w:rPr>
        <w:t>仅限检测为E4/E4或E3/E4高风险客户使用</w:t>
      </w:r>
      <w:r>
        <w:rPr>
          <w:rFonts w:hint="eastAsia" w:ascii="宋体" w:hAnsi="宋体" w:eastAsia="宋体" w:cs="宋体"/>
          <w:color w:val="000000" w:themeColor="text1"/>
          <w:spacing w:val="1"/>
          <w:szCs w:val="21"/>
          <w14:textFill>
            <w14:solidFill>
              <w14:schemeClr w14:val="tx1"/>
            </w14:solidFill>
          </w14:textFill>
        </w:rPr>
        <w:t>，服务包含1次华山医院神经内科挂号协助服务、1次华山医院认知专项体检预约服务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四、</w:t>
      </w:r>
      <w:r>
        <w:rPr>
          <w:rFonts w:hint="eastAsia" w:ascii="宋体" w:hAnsi="宋体" w:eastAsia="宋体" w:cs="宋体"/>
          <w:b/>
          <w:bCs/>
          <w:color w:val="000000" w:themeColor="text1"/>
          <w:spacing w:val="1"/>
          <w:szCs w:val="21"/>
          <w:lang w:eastAsia="zh-CN"/>
          <w14:textFill>
            <w14:solidFill>
              <w14:schemeClr w14:val="tx1"/>
            </w14:solidFill>
          </w14:textFill>
        </w:rPr>
        <w:t>家庭医生服务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1、服务内容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由专属健康管家、家庭医生组成家庭医生团队针对用户自身情况，为用户提供有价值的、有针对性的咨询服务。健康咨询支持图文、语音等多种形式。家庭医生及各专科医生提供一站式用药咨询、建议、指导、开药，送药到家服务（购药与运费自理）。</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2、服务流程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（1）登陆太平洋寿险公众号，点击权益中心</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（2）在产品专属区，点击“长相护”板块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（3）进入权益</w:t>
      </w:r>
      <w:r>
        <w:rPr>
          <w:rFonts w:hint="eastAsia" w:ascii="宋体" w:hAnsi="宋体" w:eastAsia="宋体" w:cs="宋体"/>
          <w:color w:val="000000" w:themeColor="text1"/>
          <w:spacing w:val="1"/>
          <w:szCs w:val="21"/>
          <w:lang w:val="en-US" w:eastAsia="zh-CN"/>
          <w14:textFill>
            <w14:solidFill>
              <w14:schemeClr w14:val="tx1"/>
            </w14:solidFill>
          </w14:textFill>
        </w:rPr>
        <w:t>列表</w:t>
      </w:r>
      <w:r>
        <w:rPr>
          <w:rFonts w:hint="eastAsia" w:ascii="宋体" w:hAnsi="宋体" w:eastAsia="宋体" w:cs="宋体"/>
          <w:color w:val="000000" w:themeColor="text1"/>
          <w:spacing w:val="1"/>
          <w:szCs w:val="21"/>
          <w14:textFill>
            <w14:solidFill>
              <w14:schemeClr w14:val="tx1"/>
            </w14:solidFill>
          </w14:textFill>
        </w:rPr>
        <w:t>页面，点击“</w:t>
      </w:r>
      <w:r>
        <w:rPr>
          <w:rFonts w:hint="eastAsia" w:ascii="宋体" w:hAnsi="宋体" w:eastAsia="宋体" w:cs="宋体"/>
          <w:color w:val="000000" w:themeColor="text1"/>
          <w:spacing w:val="1"/>
          <w:szCs w:val="21"/>
          <w:lang w:val="en-US" w:eastAsia="zh-CN"/>
          <w14:textFill>
            <w14:solidFill>
              <w14:schemeClr w14:val="tx1"/>
            </w14:solidFill>
          </w14:textFill>
        </w:rPr>
        <w:t>家庭医生服务-去</w:t>
      </w:r>
      <w:r>
        <w:rPr>
          <w:rFonts w:hint="eastAsia" w:ascii="宋体" w:hAnsi="宋体" w:eastAsia="宋体" w:cs="宋体"/>
          <w:color w:val="000000" w:themeColor="text1"/>
          <w:spacing w:val="1"/>
          <w:szCs w:val="21"/>
          <w14:textFill>
            <w14:solidFill>
              <w14:schemeClr w14:val="tx1"/>
            </w14:solidFill>
          </w14:textFill>
        </w:rPr>
        <w:t>使用”</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w:t>
      </w:r>
      <w:r>
        <w:rPr>
          <w:rFonts w:hint="eastAsia" w:ascii="宋体" w:hAnsi="宋体" w:eastAsia="宋体" w:cs="宋体"/>
          <w:color w:val="000000" w:themeColor="text1"/>
          <w:spacing w:val="1"/>
          <w:szCs w:val="21"/>
          <w:lang w:val="en-US" w:eastAsia="zh-CN"/>
          <w14:textFill>
            <w14:solidFill>
              <w14:schemeClr w14:val="tx1"/>
            </w14:solidFill>
          </w14:textFill>
        </w:rPr>
        <w:t>4</w:t>
      </w:r>
      <w:r>
        <w:rPr>
          <w:rFonts w:hint="eastAsia" w:ascii="宋体" w:hAnsi="宋体" w:eastAsia="宋体" w:cs="宋体"/>
          <w:color w:val="000000" w:themeColor="text1"/>
          <w:spacing w:val="1"/>
          <w:szCs w:val="21"/>
          <w14:textFill>
            <w14:solidFill>
              <w14:schemeClr w14:val="tx1"/>
            </w14:solidFill>
          </w14:textFill>
        </w:rPr>
        <w:t>）根据提示</w:t>
      </w:r>
      <w:r>
        <w:rPr>
          <w:rFonts w:hint="eastAsia" w:ascii="宋体" w:hAnsi="宋体" w:eastAsia="宋体" w:cs="宋体"/>
          <w:color w:val="000000" w:themeColor="text1"/>
          <w:spacing w:val="1"/>
          <w:szCs w:val="21"/>
          <w:lang w:val="en-US" w:eastAsia="zh-CN"/>
          <w14:textFill>
            <w14:solidFill>
              <w14:schemeClr w14:val="tx1"/>
            </w14:solidFill>
          </w14:textFill>
        </w:rPr>
        <w:t>操作，</w:t>
      </w:r>
      <w:r>
        <w:rPr>
          <w:rFonts w:hint="eastAsia" w:ascii="宋体" w:hAnsi="宋体" w:eastAsia="宋体" w:cs="宋体"/>
          <w:color w:val="000000" w:themeColor="text1"/>
          <w:spacing w:val="1"/>
          <w:szCs w:val="21"/>
          <w14:textFill>
            <w14:solidFill>
              <w14:schemeClr w14:val="tx1"/>
            </w14:solidFill>
          </w14:textFill>
        </w:rPr>
        <w:t>绑定医生</w:t>
      </w:r>
      <w:r>
        <w:rPr>
          <w:rFonts w:hint="eastAsia" w:ascii="宋体" w:hAnsi="宋体" w:eastAsia="宋体" w:cs="宋体"/>
          <w:color w:val="000000" w:themeColor="text1"/>
          <w:spacing w:val="1"/>
          <w:szCs w:val="21"/>
          <w:lang w:val="en-US" w:eastAsia="zh-CN"/>
          <w14:textFill>
            <w14:solidFill>
              <w14:schemeClr w14:val="tx1"/>
            </w14:solidFill>
          </w14:textFill>
        </w:rPr>
        <w:t>企业微信</w:t>
      </w:r>
      <w:r>
        <w:rPr>
          <w:rFonts w:hint="eastAsia" w:ascii="宋体" w:hAnsi="宋体" w:eastAsia="宋体" w:cs="宋体"/>
          <w:color w:val="000000" w:themeColor="text1"/>
          <w:spacing w:val="1"/>
          <w:szCs w:val="21"/>
          <w14:textFill>
            <w14:solidFill>
              <w14:schemeClr w14:val="tx1"/>
            </w14:solidFill>
          </w14:textFill>
        </w:rPr>
        <w:t>，进行线上问诊</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w:t>
      </w:r>
      <w:r>
        <w:rPr>
          <w:rFonts w:hint="eastAsia" w:ascii="宋体" w:hAnsi="宋体" w:eastAsia="宋体" w:cs="宋体"/>
          <w:color w:val="000000" w:themeColor="text1"/>
          <w:spacing w:val="1"/>
          <w:szCs w:val="21"/>
          <w:lang w:val="en-US" w:eastAsia="zh-CN"/>
          <w14:textFill>
            <w14:solidFill>
              <w14:schemeClr w14:val="tx1"/>
            </w14:solidFill>
          </w14:textFill>
        </w:rPr>
        <w:t>5</w:t>
      </w:r>
      <w:r>
        <w:rPr>
          <w:rFonts w:hint="eastAsia" w:ascii="宋体" w:hAnsi="宋体" w:eastAsia="宋体" w:cs="宋体"/>
          <w:color w:val="000000" w:themeColor="text1"/>
          <w:spacing w:val="1"/>
          <w:szCs w:val="21"/>
          <w14:textFill>
            <w14:solidFill>
              <w14:schemeClr w14:val="tx1"/>
            </w14:solidFill>
          </w14:textFill>
        </w:rPr>
        <w:t>）基因检测完成后可上传您的电子报告，请医生解读</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lang w:val="en-US" w:eastAsia="zh-CN"/>
          <w14:textFill>
            <w14:solidFill>
              <w14:schemeClr w14:val="tx1"/>
            </w14:solidFill>
          </w14:textFill>
        </w:rPr>
        <w:t>五、数字健康档案服务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1、服务内容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为用户建立动态电子档案，家庭医生团队会根据用户情况动态更新，用户可以通过手机、电脑等终端随时查看。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2、服务流程</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（1）登陆太平洋寿险公众号，点击权益中心</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（2）在产品专属区，点击“长相护”板块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（3）进入权益</w:t>
      </w:r>
      <w:r>
        <w:rPr>
          <w:rFonts w:hint="eastAsia" w:ascii="宋体" w:hAnsi="宋体" w:eastAsia="宋体" w:cs="宋体"/>
          <w:color w:val="000000" w:themeColor="text1"/>
          <w:spacing w:val="1"/>
          <w:szCs w:val="21"/>
          <w:lang w:val="en-US" w:eastAsia="zh-CN"/>
          <w14:textFill>
            <w14:solidFill>
              <w14:schemeClr w14:val="tx1"/>
            </w14:solidFill>
          </w14:textFill>
        </w:rPr>
        <w:t>列表</w:t>
      </w:r>
      <w:r>
        <w:rPr>
          <w:rFonts w:hint="eastAsia" w:ascii="宋体" w:hAnsi="宋体" w:eastAsia="宋体" w:cs="宋体"/>
          <w:color w:val="000000" w:themeColor="text1"/>
          <w:spacing w:val="1"/>
          <w:szCs w:val="21"/>
          <w14:textFill>
            <w14:solidFill>
              <w14:schemeClr w14:val="tx1"/>
            </w14:solidFill>
          </w14:textFill>
        </w:rPr>
        <w:t>页面，点击“</w:t>
      </w:r>
      <w:r>
        <w:rPr>
          <w:rFonts w:hint="eastAsia" w:ascii="宋体" w:hAnsi="宋体" w:eastAsia="宋体" w:cs="宋体"/>
          <w:color w:val="000000" w:themeColor="text1"/>
          <w:spacing w:val="1"/>
          <w:szCs w:val="21"/>
          <w:lang w:val="en-US" w:eastAsia="zh-CN"/>
          <w14:textFill>
            <w14:solidFill>
              <w14:schemeClr w14:val="tx1"/>
            </w14:solidFill>
          </w14:textFill>
        </w:rPr>
        <w:t>数字健康档案-去</w:t>
      </w:r>
      <w:r>
        <w:rPr>
          <w:rFonts w:hint="eastAsia" w:ascii="宋体" w:hAnsi="宋体" w:eastAsia="宋体" w:cs="宋体"/>
          <w:color w:val="000000" w:themeColor="text1"/>
          <w:spacing w:val="1"/>
          <w:szCs w:val="21"/>
          <w14:textFill>
            <w14:solidFill>
              <w14:schemeClr w14:val="tx1"/>
            </w14:solidFill>
          </w14:textFill>
        </w:rPr>
        <w:t>使用”</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宋体" w:hAnsi="宋体" w:eastAsia="宋体" w:cs="宋体"/>
          <w:color w:val="000000" w:themeColor="text1"/>
          <w:spacing w:val="1"/>
          <w:szCs w:val="21"/>
          <w:lang w:val="en-US"/>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（4）</w:t>
      </w:r>
      <w:r>
        <w:rPr>
          <w:rFonts w:hint="eastAsia" w:ascii="宋体" w:hAnsi="宋体" w:eastAsia="宋体" w:cs="宋体"/>
          <w:color w:val="000000" w:themeColor="text1"/>
          <w:spacing w:val="1"/>
          <w:szCs w:val="21"/>
          <w:lang w:val="en-US" w:eastAsia="zh-CN"/>
          <w14:textFill>
            <w14:solidFill>
              <w14:schemeClr w14:val="tx1"/>
            </w14:solidFill>
          </w14:textFill>
        </w:rPr>
        <w:t>在数字健康档案页面，点击“同意授权”，可自行填写健康信息</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（5）根据提示绑定医生微信，医生了解健康状况，建立档案并持续更新</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p>
    <w:p>
      <w:pPr>
        <w:pStyle w:val="21"/>
        <w:spacing w:before="11" w:line="600" w:lineRule="exact"/>
        <w:ind w:right="646" w:firstLine="0" w:firstLineChars="0"/>
        <w:jc w:val="center"/>
        <w:rPr>
          <w:rFonts w:ascii="宋体" w:hAnsi="宋体" w:eastAsia="宋体" w:cs="宋体"/>
          <w:sz w:val="21"/>
          <w:szCs w:val="21"/>
        </w:rPr>
      </w:pPr>
      <w:r>
        <w:rPr>
          <w:rFonts w:hint="eastAsia" w:ascii="宋体" w:hAnsi="宋体" w:eastAsia="宋体" w:cs="宋体"/>
          <w:b/>
          <w:bCs/>
          <w:szCs w:val="21"/>
        </w:rPr>
        <w:t>第二章  注意事项</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1、健康管理服务仅限被保险人本人使用，不可转让给他人。若本公司查明使用本服务的非被保险人本人，本公司有权立即拒绝提供本服务并保留追偿的权利；</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2、如被保险人为无民事行为能力人或限制民事行为能力人，本服务申请可由其监护人代其申请；</w:t>
      </w:r>
    </w:p>
    <w:p>
      <w:pPr>
        <w:pStyle w:val="4"/>
        <w:tabs>
          <w:tab w:val="left" w:pos="720"/>
          <w:tab w:val="left" w:pos="1440"/>
          <w:tab w:val="left" w:pos="3360"/>
          <w:tab w:val="left" w:pos="8520"/>
        </w:tabs>
        <w:spacing w:line="600" w:lineRule="exact"/>
        <w:rPr>
          <w:rFonts w:hint="eastAsia" w:ascii="宋体" w:hAnsi="宋体" w:eastAsia="宋体" w:cs="宋体"/>
          <w:spacing w:val="5"/>
          <w:sz w:val="21"/>
          <w:szCs w:val="21"/>
        </w:rPr>
      </w:pPr>
      <w:r>
        <w:rPr>
          <w:rFonts w:hint="eastAsia" w:ascii="宋体" w:hAnsi="宋体" w:eastAsia="宋体" w:cs="宋体"/>
          <w:spacing w:val="5"/>
          <w:sz w:val="21"/>
          <w:szCs w:val="21"/>
        </w:rPr>
        <w:t>3、保险合同的就医服务由本公司委托的第三方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为您提供，若您与第三方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因服务而产生任何纠纷，本公司会尽力协调您与第三方服务商依据相关法律法规解决纠纷，但不承担任何法律责任；</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4、本公司保留调整第三方服务商的权利；</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5、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6、在以下情况下，您任何信息的披露，本公司不负任何责任：</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（1）当政府机关依照法定程序要求本公司披露您个人资料时，本公司将根据其要求或为公共安全之目的提供您的个人资料；</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（2）由于您将个人信息告知他人，由此导致的任何个人资料泄露；</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（3）任何由于计算机问题、黑客攻击、计算机病毒侵入或发作、因政府管制而造成的暂时性关闭等影响网络正常经营之不可抗力而造成的您个人资料泄露、丢失、被盗用或被篡改等。</w:t>
      </w:r>
    </w:p>
    <w:p>
      <w:pPr>
        <w:pStyle w:val="4"/>
        <w:tabs>
          <w:tab w:val="left" w:pos="720"/>
          <w:tab w:val="left" w:pos="1440"/>
          <w:tab w:val="left" w:pos="3360"/>
          <w:tab w:val="left" w:pos="8520"/>
        </w:tabs>
        <w:spacing w:line="600" w:lineRule="exact"/>
        <w:rPr>
          <w:rFonts w:ascii="宋体" w:hAnsi="宋体" w:eastAsia="宋体" w:cs="宋体"/>
          <w:spacing w:val="5"/>
          <w:sz w:val="21"/>
          <w:szCs w:val="21"/>
        </w:rPr>
      </w:pPr>
      <w:r>
        <w:rPr>
          <w:rFonts w:hint="eastAsia" w:ascii="宋体" w:hAnsi="宋体" w:eastAsia="宋体" w:cs="宋体"/>
          <w:spacing w:val="5"/>
          <w:sz w:val="21"/>
          <w:szCs w:val="21"/>
        </w:rPr>
        <w:t>7、由于您提供不真实、不准确、不完整、不及时或不能反映当前情况的资料，而导致本服务发生缺失偏差或延误，相应责任将由您自行承担；</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val="en-US" w:eastAsia="zh-CN"/>
          <w14:textFill>
            <w14:solidFill>
              <w14:schemeClr w14:val="tx1"/>
            </w14:solidFill>
          </w14:textFill>
        </w:rPr>
      </w:pPr>
      <w:r>
        <w:rPr>
          <w:rFonts w:hint="eastAsia" w:ascii="宋体" w:hAnsi="宋体" w:eastAsia="宋体" w:cs="宋体"/>
          <w:spacing w:val="5"/>
          <w:sz w:val="21"/>
          <w:szCs w:val="21"/>
        </w:rPr>
        <w:t>8、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42EF"/>
    <w:multiLevelType w:val="singleLevel"/>
    <w:tmpl w:val="5C8742EF"/>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67"/>
    <w:rsid w:val="0005066A"/>
    <w:rsid w:val="000555B8"/>
    <w:rsid w:val="000B559E"/>
    <w:rsid w:val="00197A9A"/>
    <w:rsid w:val="001A43C2"/>
    <w:rsid w:val="001D25DE"/>
    <w:rsid w:val="00251B79"/>
    <w:rsid w:val="002E1798"/>
    <w:rsid w:val="002F4BC8"/>
    <w:rsid w:val="0031269C"/>
    <w:rsid w:val="00313B2B"/>
    <w:rsid w:val="003229C6"/>
    <w:rsid w:val="00393258"/>
    <w:rsid w:val="003E438C"/>
    <w:rsid w:val="00406B78"/>
    <w:rsid w:val="00422BDD"/>
    <w:rsid w:val="00435099"/>
    <w:rsid w:val="004543B5"/>
    <w:rsid w:val="00454BE0"/>
    <w:rsid w:val="00480F9C"/>
    <w:rsid w:val="00514B10"/>
    <w:rsid w:val="005477D5"/>
    <w:rsid w:val="00547EC4"/>
    <w:rsid w:val="00610858"/>
    <w:rsid w:val="006539DF"/>
    <w:rsid w:val="00663110"/>
    <w:rsid w:val="00675B66"/>
    <w:rsid w:val="006A45AA"/>
    <w:rsid w:val="006A7487"/>
    <w:rsid w:val="006A7E9F"/>
    <w:rsid w:val="006E26A1"/>
    <w:rsid w:val="00701303"/>
    <w:rsid w:val="00704B02"/>
    <w:rsid w:val="007C662B"/>
    <w:rsid w:val="00805A96"/>
    <w:rsid w:val="0085164E"/>
    <w:rsid w:val="008B49F1"/>
    <w:rsid w:val="00906E59"/>
    <w:rsid w:val="00971A1D"/>
    <w:rsid w:val="009D7AF7"/>
    <w:rsid w:val="00A64B41"/>
    <w:rsid w:val="00A70251"/>
    <w:rsid w:val="00A72C8D"/>
    <w:rsid w:val="00AA0661"/>
    <w:rsid w:val="00AF3EA7"/>
    <w:rsid w:val="00B54A16"/>
    <w:rsid w:val="00B62712"/>
    <w:rsid w:val="00B72D4D"/>
    <w:rsid w:val="00B76BE2"/>
    <w:rsid w:val="00BC1CDA"/>
    <w:rsid w:val="00C12794"/>
    <w:rsid w:val="00C73BEF"/>
    <w:rsid w:val="00CD3B18"/>
    <w:rsid w:val="00D04E1C"/>
    <w:rsid w:val="00D12C82"/>
    <w:rsid w:val="00D33AB7"/>
    <w:rsid w:val="00D4381F"/>
    <w:rsid w:val="00D5406D"/>
    <w:rsid w:val="00D54D20"/>
    <w:rsid w:val="00E13D40"/>
    <w:rsid w:val="00E86E8D"/>
    <w:rsid w:val="00E87252"/>
    <w:rsid w:val="00EC0C61"/>
    <w:rsid w:val="00ED7F12"/>
    <w:rsid w:val="00EE7C7B"/>
    <w:rsid w:val="00F70316"/>
    <w:rsid w:val="00F80E05"/>
    <w:rsid w:val="00F93CEA"/>
    <w:rsid w:val="00FA4B49"/>
    <w:rsid w:val="0115359F"/>
    <w:rsid w:val="01190616"/>
    <w:rsid w:val="01524BEA"/>
    <w:rsid w:val="01AD7D85"/>
    <w:rsid w:val="029C77E3"/>
    <w:rsid w:val="02BA515F"/>
    <w:rsid w:val="0340208A"/>
    <w:rsid w:val="047D1EDD"/>
    <w:rsid w:val="04DF19DF"/>
    <w:rsid w:val="05FE0D18"/>
    <w:rsid w:val="06062112"/>
    <w:rsid w:val="06883903"/>
    <w:rsid w:val="06BA2D71"/>
    <w:rsid w:val="06E37859"/>
    <w:rsid w:val="079C05F9"/>
    <w:rsid w:val="07BA1A34"/>
    <w:rsid w:val="08F24BA8"/>
    <w:rsid w:val="09D32F62"/>
    <w:rsid w:val="09E32F7A"/>
    <w:rsid w:val="0C184778"/>
    <w:rsid w:val="0CE8368D"/>
    <w:rsid w:val="0D1D009F"/>
    <w:rsid w:val="0DF42E19"/>
    <w:rsid w:val="0F367C39"/>
    <w:rsid w:val="0F926B48"/>
    <w:rsid w:val="0FC71C72"/>
    <w:rsid w:val="10302208"/>
    <w:rsid w:val="104A3B89"/>
    <w:rsid w:val="108473BA"/>
    <w:rsid w:val="10AC3EEA"/>
    <w:rsid w:val="114918FC"/>
    <w:rsid w:val="118D2694"/>
    <w:rsid w:val="119846AC"/>
    <w:rsid w:val="12D76F39"/>
    <w:rsid w:val="12DF0EFD"/>
    <w:rsid w:val="131C7634"/>
    <w:rsid w:val="13BB2970"/>
    <w:rsid w:val="13DC6CCA"/>
    <w:rsid w:val="14AC2B62"/>
    <w:rsid w:val="152A01CB"/>
    <w:rsid w:val="15EE4427"/>
    <w:rsid w:val="15F27C87"/>
    <w:rsid w:val="15FC3781"/>
    <w:rsid w:val="160929DA"/>
    <w:rsid w:val="16C368D9"/>
    <w:rsid w:val="16DE2F30"/>
    <w:rsid w:val="175A2276"/>
    <w:rsid w:val="175B6F05"/>
    <w:rsid w:val="179D4F58"/>
    <w:rsid w:val="17DD17F4"/>
    <w:rsid w:val="18162BC4"/>
    <w:rsid w:val="189A4FBD"/>
    <w:rsid w:val="18AE41B0"/>
    <w:rsid w:val="18DB0ADA"/>
    <w:rsid w:val="19041A2D"/>
    <w:rsid w:val="1C380812"/>
    <w:rsid w:val="1DC11C52"/>
    <w:rsid w:val="1E8834B6"/>
    <w:rsid w:val="1EEC16C3"/>
    <w:rsid w:val="1FF32C26"/>
    <w:rsid w:val="201A6A33"/>
    <w:rsid w:val="207129D8"/>
    <w:rsid w:val="211F0A6C"/>
    <w:rsid w:val="22863E2E"/>
    <w:rsid w:val="232621E7"/>
    <w:rsid w:val="235E0045"/>
    <w:rsid w:val="25D57848"/>
    <w:rsid w:val="274C312B"/>
    <w:rsid w:val="28313E2D"/>
    <w:rsid w:val="28502088"/>
    <w:rsid w:val="28E74E3E"/>
    <w:rsid w:val="295E631F"/>
    <w:rsid w:val="29C10255"/>
    <w:rsid w:val="2ADD161F"/>
    <w:rsid w:val="2AF16CD3"/>
    <w:rsid w:val="2C0452E0"/>
    <w:rsid w:val="2C6C038C"/>
    <w:rsid w:val="2DEE6B08"/>
    <w:rsid w:val="2E0B1C74"/>
    <w:rsid w:val="2E2C6DF9"/>
    <w:rsid w:val="2E7D1E5A"/>
    <w:rsid w:val="2EBF79F6"/>
    <w:rsid w:val="2F3D5FEA"/>
    <w:rsid w:val="2F555740"/>
    <w:rsid w:val="2F751E89"/>
    <w:rsid w:val="2F8E1F0C"/>
    <w:rsid w:val="2FEE7679"/>
    <w:rsid w:val="2FF62DD6"/>
    <w:rsid w:val="31322C20"/>
    <w:rsid w:val="319D1D78"/>
    <w:rsid w:val="31B312C5"/>
    <w:rsid w:val="31CD787E"/>
    <w:rsid w:val="32554CEB"/>
    <w:rsid w:val="333459EC"/>
    <w:rsid w:val="334A535F"/>
    <w:rsid w:val="335C4604"/>
    <w:rsid w:val="34256C9D"/>
    <w:rsid w:val="34E86DB2"/>
    <w:rsid w:val="34EC4E04"/>
    <w:rsid w:val="352B5887"/>
    <w:rsid w:val="355C450E"/>
    <w:rsid w:val="35DC5697"/>
    <w:rsid w:val="36AA1371"/>
    <w:rsid w:val="36AC5970"/>
    <w:rsid w:val="374A2D4A"/>
    <w:rsid w:val="38EC4DA6"/>
    <w:rsid w:val="39131F02"/>
    <w:rsid w:val="3A0E1EFC"/>
    <w:rsid w:val="3AC43C22"/>
    <w:rsid w:val="3C755CDF"/>
    <w:rsid w:val="3CAF334D"/>
    <w:rsid w:val="3CC41CC6"/>
    <w:rsid w:val="3D0C705D"/>
    <w:rsid w:val="3D652004"/>
    <w:rsid w:val="3D7C5376"/>
    <w:rsid w:val="3DAC00B9"/>
    <w:rsid w:val="3FC80C2D"/>
    <w:rsid w:val="40634FB9"/>
    <w:rsid w:val="40701D8D"/>
    <w:rsid w:val="414B3B8A"/>
    <w:rsid w:val="423563F6"/>
    <w:rsid w:val="449823E1"/>
    <w:rsid w:val="44A40485"/>
    <w:rsid w:val="455E35C8"/>
    <w:rsid w:val="45A8682D"/>
    <w:rsid w:val="45B46435"/>
    <w:rsid w:val="45D63309"/>
    <w:rsid w:val="461F7317"/>
    <w:rsid w:val="47784432"/>
    <w:rsid w:val="484D7D4E"/>
    <w:rsid w:val="48C75D67"/>
    <w:rsid w:val="48DA04B1"/>
    <w:rsid w:val="490E594A"/>
    <w:rsid w:val="4A063DE5"/>
    <w:rsid w:val="4A465BD1"/>
    <w:rsid w:val="4B0C78E2"/>
    <w:rsid w:val="4B275F46"/>
    <w:rsid w:val="4BA24736"/>
    <w:rsid w:val="4C0018D8"/>
    <w:rsid w:val="4C34281C"/>
    <w:rsid w:val="4CE36D3B"/>
    <w:rsid w:val="4D0372CE"/>
    <w:rsid w:val="4D0F0339"/>
    <w:rsid w:val="4E3201E3"/>
    <w:rsid w:val="4E896231"/>
    <w:rsid w:val="4EC75621"/>
    <w:rsid w:val="4F3500F3"/>
    <w:rsid w:val="4F9D6514"/>
    <w:rsid w:val="4FCD20FE"/>
    <w:rsid w:val="50106DAB"/>
    <w:rsid w:val="50615F3B"/>
    <w:rsid w:val="50B56858"/>
    <w:rsid w:val="50EB11A3"/>
    <w:rsid w:val="510A191B"/>
    <w:rsid w:val="51741049"/>
    <w:rsid w:val="51D720B4"/>
    <w:rsid w:val="52270A94"/>
    <w:rsid w:val="52B74881"/>
    <w:rsid w:val="53841CCF"/>
    <w:rsid w:val="53B72C60"/>
    <w:rsid w:val="53B87587"/>
    <w:rsid w:val="547778E5"/>
    <w:rsid w:val="55153F14"/>
    <w:rsid w:val="554313E8"/>
    <w:rsid w:val="5598717D"/>
    <w:rsid w:val="55DD0288"/>
    <w:rsid w:val="55F6436C"/>
    <w:rsid w:val="5652535F"/>
    <w:rsid w:val="58CE7989"/>
    <w:rsid w:val="59F904AC"/>
    <w:rsid w:val="5A58687D"/>
    <w:rsid w:val="5AA61584"/>
    <w:rsid w:val="5AAF4C09"/>
    <w:rsid w:val="5AD91545"/>
    <w:rsid w:val="5C6F16FF"/>
    <w:rsid w:val="5C813A6B"/>
    <w:rsid w:val="5E0D0D00"/>
    <w:rsid w:val="5F1C3FCD"/>
    <w:rsid w:val="60042A4A"/>
    <w:rsid w:val="60220245"/>
    <w:rsid w:val="6047424B"/>
    <w:rsid w:val="609B4884"/>
    <w:rsid w:val="613223EA"/>
    <w:rsid w:val="620B510F"/>
    <w:rsid w:val="623C339D"/>
    <w:rsid w:val="62C43095"/>
    <w:rsid w:val="62D02C45"/>
    <w:rsid w:val="6325760B"/>
    <w:rsid w:val="63C35569"/>
    <w:rsid w:val="64874010"/>
    <w:rsid w:val="652C6399"/>
    <w:rsid w:val="663D5B7F"/>
    <w:rsid w:val="66D30C2B"/>
    <w:rsid w:val="67B123CD"/>
    <w:rsid w:val="67D35200"/>
    <w:rsid w:val="68EB29A8"/>
    <w:rsid w:val="6AA6782C"/>
    <w:rsid w:val="6AC60B05"/>
    <w:rsid w:val="6B4C47EC"/>
    <w:rsid w:val="6C1F0D6D"/>
    <w:rsid w:val="6D287EA7"/>
    <w:rsid w:val="6D36218B"/>
    <w:rsid w:val="6E99467C"/>
    <w:rsid w:val="6EC4384C"/>
    <w:rsid w:val="6EDF013C"/>
    <w:rsid w:val="6EF24327"/>
    <w:rsid w:val="6F3D0001"/>
    <w:rsid w:val="70624C12"/>
    <w:rsid w:val="707E029B"/>
    <w:rsid w:val="712A5BF0"/>
    <w:rsid w:val="71557AA5"/>
    <w:rsid w:val="71B17914"/>
    <w:rsid w:val="72D11249"/>
    <w:rsid w:val="730535D8"/>
    <w:rsid w:val="73380B59"/>
    <w:rsid w:val="746374BB"/>
    <w:rsid w:val="749C33A2"/>
    <w:rsid w:val="74AD7B4E"/>
    <w:rsid w:val="74CF56B7"/>
    <w:rsid w:val="75096688"/>
    <w:rsid w:val="76BC3505"/>
    <w:rsid w:val="77B07B27"/>
    <w:rsid w:val="77DE436A"/>
    <w:rsid w:val="783D0789"/>
    <w:rsid w:val="791567E2"/>
    <w:rsid w:val="7970661D"/>
    <w:rsid w:val="79D16E8F"/>
    <w:rsid w:val="7A17609D"/>
    <w:rsid w:val="7AD94F97"/>
    <w:rsid w:val="7AF43EDF"/>
    <w:rsid w:val="7B003521"/>
    <w:rsid w:val="7BBD54CA"/>
    <w:rsid w:val="7CB90C48"/>
    <w:rsid w:val="7E94180E"/>
    <w:rsid w:val="7EC84E6F"/>
    <w:rsid w:val="7EDE71EE"/>
    <w:rsid w:val="7F7C28D3"/>
    <w:rsid w:val="7FCF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ody Text"/>
    <w:basedOn w:val="1"/>
    <w:link w:val="19"/>
    <w:qFormat/>
    <w:uiPriority w:val="0"/>
    <w:rPr>
      <w:sz w:val="20"/>
      <w:szCs w:val="20"/>
    </w:r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7"/>
    <w:qFormat/>
    <w:uiPriority w:val="0"/>
    <w:rPr>
      <w:b/>
      <w:bCs/>
    </w:r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character" w:customStyle="1" w:styleId="16">
    <w:name w:val="批注文字 字符"/>
    <w:basedOn w:val="11"/>
    <w:link w:val="3"/>
    <w:qFormat/>
    <w:uiPriority w:val="99"/>
    <w:rPr>
      <w:kern w:val="2"/>
      <w:sz w:val="21"/>
      <w:szCs w:val="24"/>
    </w:rPr>
  </w:style>
  <w:style w:type="character" w:customStyle="1" w:styleId="17">
    <w:name w:val="批注主题 字符"/>
    <w:basedOn w:val="16"/>
    <w:link w:val="9"/>
    <w:qFormat/>
    <w:uiPriority w:val="0"/>
    <w:rPr>
      <w:b/>
      <w:bCs/>
      <w:kern w:val="2"/>
      <w:sz w:val="21"/>
      <w:szCs w:val="24"/>
    </w:rPr>
  </w:style>
  <w:style w:type="character" w:customStyle="1" w:styleId="18">
    <w:name w:val="批注框文本 字符"/>
    <w:basedOn w:val="11"/>
    <w:link w:val="5"/>
    <w:qFormat/>
    <w:uiPriority w:val="0"/>
    <w:rPr>
      <w:kern w:val="2"/>
      <w:sz w:val="18"/>
      <w:szCs w:val="18"/>
    </w:rPr>
  </w:style>
  <w:style w:type="character" w:customStyle="1" w:styleId="19">
    <w:name w:val="正文文本 字符"/>
    <w:basedOn w:val="11"/>
    <w:link w:val="4"/>
    <w:qFormat/>
    <w:uiPriority w:val="0"/>
    <w:rPr>
      <w:kern w:val="2"/>
    </w:rPr>
  </w:style>
  <w:style w:type="paragraph" w:customStyle="1" w:styleId="20">
    <w:name w:val="列表段落1"/>
    <w:basedOn w:val="1"/>
    <w:qFormat/>
    <w:uiPriority w:val="99"/>
    <w:pPr>
      <w:spacing w:line="240" w:lineRule="auto"/>
      <w:ind w:firstLine="420" w:firstLineChars="200"/>
    </w:pPr>
    <w:rPr>
      <w:rFonts w:ascii="Calibri" w:hAnsi="Calibri" w:eastAsia="宋体" w:cs="宋体"/>
      <w:szCs w:val="24"/>
    </w:r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33537-D250-44E2-B94E-8E699B973411}">
  <ds:schemaRefs/>
</ds:datastoreItem>
</file>

<file path=docProps/app.xml><?xml version="1.0" encoding="utf-8"?>
<Properties xmlns="http://schemas.openxmlformats.org/officeDocument/2006/extended-properties" xmlns:vt="http://schemas.openxmlformats.org/officeDocument/2006/docPropsVTypes">
  <Template>Normal.dotm</Template>
  <Company>CPIC</Company>
  <Pages>8</Pages>
  <Words>1424</Words>
  <Characters>8117</Characters>
  <Lines>67</Lines>
  <Paragraphs>19</Paragraphs>
  <TotalTime>0</TotalTime>
  <ScaleCrop>false</ScaleCrop>
  <LinksUpToDate>false</LinksUpToDate>
  <CharactersWithSpaces>9522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2021-09-06T10:28:00Z</dcterms:created>
  <dc:creator>fangxiao-005</dc:creator>
  <cp:lastModifiedBy>赵坤</cp:lastModifiedBy>
  <dcterms:modified xsi:type="dcterms:W3CDTF">2024-01-25T03:36:40Z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